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u w:val="none"/>
        </w:rPr>
        <w:t>São Paulo, 8 de setembro de 2026.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>Ao</w:t>
      </w:r>
    </w:p>
    <w:p>
      <w:r>
        <w:rPr>
          <w:b/>
          <w:u w:val="none"/>
        </w:rPr>
        <w:t>ESCRITÓRIO EXEMPLO ADVOCACIA</w:t>
      </w:r>
    </w:p>
    <w:p>
      <w:r>
        <w:rPr>
          <w:b w:val="0"/>
          <w:u w:val="single"/>
        </w:rPr>
        <w:t>A/C: Dr. Advogado Exemplo</w:t>
      </w:r>
    </w:p>
    <w:p>
      <w:r>
        <w:rPr>
          <w:b w:val="0"/>
          <w:u w:val="none"/>
        </w:rPr>
      </w:r>
    </w:p>
    <w:p>
      <w:pPr>
        <w:jc w:val="left"/>
      </w:pPr>
      <w:r>
        <w:rPr>
          <w:b w:val="0"/>
          <w:u w:val="none"/>
        </w:rPr>
        <w:t>Processo nº: 0000000-00.0000.5.00.0000 · 2ª Vara do Trabalho de Cidade Exemplo</w:t>
      </w:r>
    </w:p>
    <w:p>
      <w:pPr>
        <w:jc w:val="left"/>
      </w:pPr>
      <w:r>
        <w:rPr>
          <w:b w:val="0"/>
          <w:u w:val="none"/>
        </w:rPr>
        <w:t>Reclamante: TRABALHADOR EXEMPLO</w:t>
      </w:r>
    </w:p>
    <w:p>
      <w:pPr>
        <w:jc w:val="left"/>
      </w:pPr>
      <w:r>
        <w:rPr>
          <w:b w:val="0"/>
          <w:u w:val="none"/>
        </w:rPr>
        <w:t>Reclamada: EMPRESA EXEMPLO S.A.</w:t>
      </w:r>
    </w:p>
    <w:p>
      <w:pPr>
        <w:jc w:val="left"/>
      </w:pPr>
      <w:r>
        <w:rPr>
          <w:b w:val="0"/>
          <w:u w:val="none"/>
        </w:rPr>
        <w:t xml:space="preserve">Assunto: </w:t>
      </w:r>
      <w:r>
        <w:rPr>
          <w:b w:val="0"/>
          <w:u w:val="single"/>
        </w:rPr>
        <w:t>RELATÓRIO DE DIFERENÇAS DOS CÁLCULOS DA RECLAMADA</w:t>
      </w:r>
    </w:p>
    <w:p>
      <w:pPr>
        <w:jc w:val="left"/>
      </w:pPr>
      <w:r>
        <w:rPr>
          <w:b w:val="0"/>
          <w:u w:val="none"/>
        </w:rPr>
        <w:t>Pedido: JP-000000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Prezado Dr.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Atendendo à solicitação de 03/09/2026, analisamos os cálculos apresentados pela reclamada (Id 4c5d6e7, fls. 298/315; Id 8b9c0d1, fls. 316/330; Id 2e3f4a5, fls. 331/345), refizemos a conta no PJe-Calc conforme o título e apresentamos a conta correta, o quadro comparativo e uma sugestão de razões para apoiar a impugnação, cada ponto com o Id e as folhas que o sustentam.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01. </w:t>
      </w:r>
      <w:r>
        <w:rPr>
          <w:b w:val="0"/>
          <w:u w:val="single"/>
        </w:rPr>
        <w:t>Das peças que sustentam os números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Trabalhamos sobre os autos integrais. As peças que interessam ao cálculo são estas:</w:t>
      </w:r>
    </w:p>
    <w:p>
      <w:r>
        <w:rPr>
          <w:b w:val="0"/>
          <w:u w:val="none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16262A"/>
          <w:left w:val="single" w:sz="4" w:space="0" w:color="16262A"/>
          <w:bottom w:val="single" w:sz="4" w:space="0" w:color="16262A"/>
          <w:right w:val="single" w:sz="4" w:space="0" w:color="16262A"/>
          <w:insideH w:val="single" w:sz="4" w:space="0" w:color="16262A"/>
          <w:insideV w:val="single" w:sz="4" w:space="0" w:color="16262A"/>
        </w:tblBorders>
      </w:tblPr>
      <w:tblGrid>
        <w:gridCol w:w="4535"/>
        <w:gridCol w:w="2268"/>
        <w:gridCol w:w="2268"/>
      </w:tblGrid>
      <w:tr>
        <w:tc>
          <w:tcPr>
            <w:tcW w:type="dxa" w:w="4535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Peça</w:t>
            </w:r>
          </w:p>
        </w:tc>
        <w:tc>
          <w:tcPr>
            <w:tcW w:type="dxa" w:w="2268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Id.</w:t>
            </w:r>
          </w:p>
        </w:tc>
        <w:tc>
          <w:tcPr>
            <w:tcW w:type="dxa" w:w="2268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Fls.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Cartões de ponto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9c0d1e2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120/180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Sentença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6a7b8c9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250/268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Acórdão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0d1e2f3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280/292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Decisão de liquidação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5f6a7b8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296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Cálculos impugnados (resumo e horas extras)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4c5d6e7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298/315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Cálculos impugnados (adicional noturno)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8b9c0d1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316/330</w:t>
            </w:r>
          </w:p>
        </w:tc>
      </w:tr>
      <w:tr>
        <w:tc>
          <w:tcPr>
            <w:tcW w:type="dxa" w:w="4535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Cálculos impugnados (FGTS)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2e3f4a5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331/345</w:t>
            </w:r>
          </w:p>
        </w:tc>
      </w:tr>
    </w:tbl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02. </w:t>
      </w:r>
      <w:r>
        <w:rPr>
          <w:b w:val="0"/>
          <w:u w:val="single"/>
        </w:rPr>
        <w:t>Do resumo das decisões analisadas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Cada decisão que interfere no cálculo, com o que ela fixou: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a) Sentença de 10/04/2025 (Id 6a7b8c9, fls. 250/268): </w:t>
      </w:r>
      <w:r>
        <w:rPr>
          <w:b w:val="0"/>
          <w:u w:val="none"/>
        </w:rPr>
        <w:t>deferiu horas extras além da 8ª diária e da 44ª semanal, não cumulativas; 1 hora por dia de trabalho sem intervalo, com adicional de 50%, de natureza indenizatória (art. 71, §4º, da CLT); adicional noturno com a hora noturna reduzida; FGTS com 40% sobre as parcelas salariais; correção e juros pela ADC 58 e pela Lei 14.905/2024; honorários de sucumbência de 10% sobre o valor líquido.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b) Acórdão de 18/09/2025 (Id 0d1e2f3, fls. 280/292): </w:t>
      </w:r>
      <w:r>
        <w:rPr>
          <w:b w:val="0"/>
          <w:u w:val="none"/>
        </w:rPr>
        <w:t>negou provimento ao recurso da reclamada e deu provimento ao recurso do reclamante para fixar o divisor 200, pela jornada contratual de 40 horas semanais.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c) Decisão de liquidação de 01/09/2026 (Id 5f6a7b8, fls. 296): </w:t>
      </w:r>
      <w:r>
        <w:rPr>
          <w:b w:val="0"/>
          <w:u w:val="none"/>
        </w:rPr>
        <w:t>deu vista ao reclamante dos cálculos da reclamada por 8 dias (art. 879, §2º, da CLT).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03. </w:t>
      </w:r>
      <w:r>
        <w:rPr>
          <w:b w:val="0"/>
          <w:u w:val="single"/>
        </w:rPr>
        <w:t>Dos parâmetros adotados na conta correta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a) correção monetária e juros: IPCA-E e juros do art. 39, caput, da Lei 8.177/1991 até o ajuizamento, SELIC até 29/08/2024 e IPCA com a taxa legal desde 30/08/2024, conforme a sentença (Id 6a7b8c9, fls. 264);</w:t>
      </w:r>
    </w:p>
    <w:p>
      <w:r>
        <w:rPr>
          <w:b w:val="0"/>
          <w:u w:val="none"/>
        </w:rPr>
        <w:t>b) jornada: horários dos cartões de ponto, critério diário e semanal, conforme os cartões (Id 9c0d1e2, fls. 120/180) e a sentença (Id 6a7b8c9, fls. 255);</w:t>
      </w:r>
    </w:p>
    <w:p>
      <w:r>
        <w:rPr>
          <w:b w:val="0"/>
          <w:u w:val="none"/>
        </w:rPr>
        <w:t>c) divisor: 200, conforme o acórdão (Id 0d1e2f3, fls. 286);</w:t>
      </w:r>
    </w:p>
    <w:p>
      <w:r>
        <w:rPr>
          <w:b w:val="0"/>
          <w:u w:val="none"/>
        </w:rPr>
        <w:t>d) intervalo intrajornada: 1 hora por dia de trabalho sem intervalo, com adicional de 50%, conforme a sentença (Id 6a7b8c9, fls. 258).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04. </w:t>
      </w:r>
      <w:r>
        <w:rPr>
          <w:b w:val="0"/>
          <w:u w:val="single"/>
        </w:rPr>
        <w:t>Do quadro comparativo</w:t>
      </w:r>
    </w:p>
    <w:p>
      <w:pPr>
        <w:keepNext/>
      </w:pPr>
      <w:r>
        <w:rPr>
          <w:b w:val="0"/>
          <w:u w:val="none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16262A"/>
          <w:left w:val="single" w:sz="4" w:space="0" w:color="16262A"/>
          <w:bottom w:val="single" w:sz="4" w:space="0" w:color="16262A"/>
          <w:right w:val="single" w:sz="4" w:space="0" w:color="16262A"/>
          <w:insideH w:val="single" w:sz="4" w:space="0" w:color="16262A"/>
          <w:insideV w:val="single" w:sz="4" w:space="0" w:color="16262A"/>
        </w:tblBorders>
      </w:tblPr>
      <w:tblGrid>
        <w:gridCol w:w="3628"/>
        <w:gridCol w:w="1814"/>
        <w:gridCol w:w="1814"/>
        <w:gridCol w:w="1814"/>
      </w:tblGrid>
      <w:tr>
        <w:tc>
          <w:tcPr>
            <w:tcW w:type="dxa" w:w="3628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Rubrica</w:t>
            </w:r>
          </w:p>
        </w:tc>
        <w:tc>
          <w:tcPr>
            <w:tcW w:type="dxa" w:w="1814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Conta impugnada (R$)</w:t>
            </w:r>
          </w:p>
        </w:tc>
        <w:tc>
          <w:tcPr>
            <w:tcW w:type="dxa" w:w="1814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Conta correta (R$)</w:t>
            </w:r>
          </w:p>
        </w:tc>
        <w:tc>
          <w:tcPr>
            <w:tcW w:type="dxa" w:w="1814"/>
            <w:shd w:val="clear" w:color="auto" w:fill="DDEEEA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Diferença (R$)</w:t>
            </w:r>
          </w:p>
        </w:tc>
      </w:tr>
      <w:tr>
        <w:tc>
          <w:tcPr>
            <w:tcW w:type="dxa" w:w="362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Horas extras e reflexos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12.418,30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31.774,85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19.356,55</w:t>
            </w:r>
          </w:p>
        </w:tc>
      </w:tr>
      <w:tr>
        <w:tc>
          <w:tcPr>
            <w:tcW w:type="dxa" w:w="362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Intervalo intrajornada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3.212,40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8.946,15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5.733,75</w:t>
            </w:r>
          </w:p>
        </w:tc>
      </w:tr>
      <w:tr>
        <w:tc>
          <w:tcPr>
            <w:tcW w:type="dxa" w:w="362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Adicional noturno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4.861,22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5.317,04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455,82</w:t>
            </w:r>
          </w:p>
        </w:tc>
      </w:tr>
      <w:tr>
        <w:tc>
          <w:tcPr>
            <w:tcW w:type="dxa" w:w="3628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FGTS e multa de 40%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1.987,65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4.416,93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 w:val="0"/>
                <w:color w:val="16262A"/>
                <w:sz w:val="20"/>
              </w:rPr>
              <w:t>2.429,28</w:t>
            </w:r>
          </w:p>
        </w:tc>
      </w:tr>
      <w:tr>
        <w:tc>
          <w:tcPr>
            <w:tcW w:type="dxa" w:w="3628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Total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22.479,57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50.454,97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/>
                <w:color w:val="16262A"/>
                <w:sz w:val="20"/>
              </w:rPr>
              <w:t>27.975,40</w:t>
            </w:r>
          </w:p>
        </w:tc>
      </w:tr>
    </w:tbl>
    <w:p>
      <w:r>
        <w:rPr>
          <w:b w:val="0"/>
          <w:u w:val="none"/>
        </w:rPr>
      </w:r>
    </w:p>
    <w:p>
      <w:r>
        <w:rPr>
          <w:b w:val="0"/>
          <w:u w:val="none"/>
        </w:rPr>
        <w:t>Valores na data-base de 31/08/2026. A conta correta completa está no PDF do PJe-Calc que acompanha este documento.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05. </w:t>
      </w:r>
      <w:r>
        <w:rPr>
          <w:b w:val="0"/>
          <w:u w:val="single"/>
        </w:rPr>
        <w:t>Das razões sugeridas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Para cada diferença, uma sugestão de fatos, fundamentos e pedido para apoiar a sua impugnação. A peça, a estratégia e o protocolo são do advogado.</w:t>
      </w:r>
    </w:p>
    <w:p>
      <w:r>
        <w:rPr>
          <w:b w:val="0"/>
          <w:u w:val="none"/>
        </w:rPr>
      </w:r>
    </w:p>
    <w:p>
      <w:pPr>
        <w:keepNext/>
      </w:pPr>
      <w:r>
        <w:rPr>
          <w:b/>
          <w:u w:val="none"/>
        </w:rPr>
        <w:t>5.1. DAS HORAS EXTRAS: CRITÉRIO DIÁRIO E DIVISOR</w:t>
      </w:r>
    </w:p>
    <w:p>
      <w:pPr>
        <w:keepNext/>
      </w:pPr>
      <w:r>
        <w:rPr>
          <w:b w:val="0"/>
          <w:u w:val="none"/>
        </w:rPr>
      </w:r>
    </w:p>
    <w:p>
      <w:r>
        <w:rPr>
          <w:b/>
          <w:u w:val="none"/>
        </w:rPr>
        <w:t xml:space="preserve">Fatos sugeridos. </w:t>
      </w:r>
      <w:r>
        <w:rPr>
          <w:b w:val="0"/>
          <w:u w:val="none"/>
        </w:rPr>
        <w:t>A conta impugnada considerou só as horas além da 44ª semanal e usou o divisor 220, como se vê nos meses de 03/2022, 07/2022 e 11/2022 (Id 4c5d6e7, fls. 301).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Fundamentos sugeridos. </w:t>
      </w:r>
      <w:r>
        <w:rPr>
          <w:b w:val="0"/>
          <w:u w:val="none"/>
        </w:rPr>
        <w:t>A sentença deferiu as horas extras além da 8ª diária e da 44ª semanal, não cumulativas (Id 6a7b8c9, fls. 255), e o acórdão fixou o divisor 200 (Id 0d1e2f3, fls. 286). Refeita a conta, a rubrica passa de R$ 12.418,30 para R$ 31.774,85, e o total devido aumenta em R$ 19.356,55.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Pedido sugerido. </w:t>
      </w:r>
      <w:r>
        <w:rPr>
          <w:b w:val="0"/>
          <w:u w:val="none"/>
        </w:rPr>
        <w:t>Retificar a conta, com as horas extras pelos critérios diário e semanal e o divisor 200: R$ 31.774,85 na rubrica.</w:t>
      </w:r>
    </w:p>
    <w:p>
      <w:r>
        <w:rPr>
          <w:b w:val="0"/>
          <w:u w:val="none"/>
        </w:rPr>
      </w:r>
    </w:p>
    <w:p>
      <w:pPr>
        <w:keepNext/>
      </w:pPr>
      <w:r>
        <w:rPr>
          <w:b/>
          <w:u w:val="none"/>
        </w:rPr>
        <w:t>5.2. DO INTERVALO INTRAJORNADA</w:t>
      </w:r>
    </w:p>
    <w:p>
      <w:pPr>
        <w:keepNext/>
      </w:pPr>
      <w:r>
        <w:rPr>
          <w:b w:val="0"/>
          <w:u w:val="none"/>
        </w:rPr>
      </w:r>
    </w:p>
    <w:p>
      <w:r>
        <w:rPr>
          <w:b/>
          <w:u w:val="none"/>
        </w:rPr>
        <w:t xml:space="preserve">Fatos sugeridos. </w:t>
      </w:r>
      <w:r>
        <w:rPr>
          <w:b w:val="0"/>
          <w:u w:val="none"/>
        </w:rPr>
        <w:t>A conta impugnada apurou 30 minutos por dia e só nos dias com mais de 8 horas de trabalho, como se vê em 04/2022 e 09/2022 (Id 4c5d6e7, fls. 304).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Fundamentos sugeridos. </w:t>
      </w:r>
      <w:r>
        <w:rPr>
          <w:b w:val="0"/>
          <w:u w:val="none"/>
        </w:rPr>
        <w:t>A sentença deferiu 1 hora por dia de trabalho sem intervalo, com adicional de 50% (Id 6a7b8c9, fls. 258). Refeita a conta, a rubrica passa de R$ 3.212,40 para R$ 8.946,15, e o total devido aumenta em R$ 5.733,75.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Pedido sugerido. </w:t>
      </w:r>
      <w:r>
        <w:rPr>
          <w:b w:val="0"/>
          <w:u w:val="none"/>
        </w:rPr>
        <w:t>Retificar a conta, com 1 hora por dia de trabalho sem intervalo: R$ 8.946,15 na rubrica.</w:t>
      </w:r>
    </w:p>
    <w:p>
      <w:r>
        <w:rPr>
          <w:b w:val="0"/>
          <w:u w:val="none"/>
        </w:rPr>
      </w:r>
    </w:p>
    <w:p>
      <w:pPr>
        <w:keepNext/>
      </w:pPr>
      <w:r>
        <w:rPr>
          <w:b/>
          <w:u w:val="none"/>
        </w:rPr>
        <w:t>5.3. DO ADICIONAL NOTURNO: HORA NOTURNA REDUZIDA</w:t>
      </w:r>
    </w:p>
    <w:p>
      <w:pPr>
        <w:keepNext/>
      </w:pPr>
      <w:r>
        <w:rPr>
          <w:b w:val="0"/>
          <w:u w:val="none"/>
        </w:rPr>
      </w:r>
    </w:p>
    <w:p>
      <w:r>
        <w:rPr>
          <w:b/>
          <w:u w:val="none"/>
        </w:rPr>
        <w:t xml:space="preserve">Fatos sugeridos. </w:t>
      </w:r>
      <w:r>
        <w:rPr>
          <w:b w:val="0"/>
          <w:u w:val="none"/>
        </w:rPr>
        <w:t>A conta impugnada contou a hora noturna com 60 minutos, como se vê em 02/2022 (Id 8b9c0d1, fls. 322).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Fundamentos sugeridos. </w:t>
      </w:r>
      <w:r>
        <w:rPr>
          <w:b w:val="0"/>
          <w:u w:val="none"/>
        </w:rPr>
        <w:t>A sentença determinou a hora noturna reduzida de 52 minutos e 30 segundos (Id 6a7b8c9, fls. 260; art. 73, §1º, da CLT). Refeita a conta, a rubrica passa de R$ 4.861,22 para R$ 5.317,04, e o total devido aumenta em R$ 455,82.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Pedido sugerido. </w:t>
      </w:r>
      <w:r>
        <w:rPr>
          <w:b w:val="0"/>
          <w:u w:val="none"/>
        </w:rPr>
        <w:t>Retificar a conta, com a hora noturna reduzida: R$ 5.317,04 na rubrica.</w:t>
      </w:r>
    </w:p>
    <w:p>
      <w:r>
        <w:rPr>
          <w:b w:val="0"/>
          <w:u w:val="none"/>
        </w:rPr>
      </w:r>
    </w:p>
    <w:p>
      <w:pPr>
        <w:keepNext/>
      </w:pPr>
      <w:r>
        <w:rPr>
          <w:b/>
          <w:u w:val="none"/>
        </w:rPr>
        <w:t>5.4. DO FGTS E DA MULTA DE 40%</w:t>
      </w:r>
    </w:p>
    <w:p>
      <w:pPr>
        <w:keepNext/>
      </w:pPr>
      <w:r>
        <w:rPr>
          <w:b w:val="0"/>
          <w:u w:val="none"/>
        </w:rPr>
      </w:r>
    </w:p>
    <w:p>
      <w:r>
        <w:rPr>
          <w:b/>
          <w:u w:val="none"/>
        </w:rPr>
        <w:t xml:space="preserve">Fatos sugeridos. </w:t>
      </w:r>
      <w:r>
        <w:rPr>
          <w:b w:val="0"/>
          <w:u w:val="none"/>
        </w:rPr>
        <w:t>A conta impugnada calculou o FGTS só sobre as horas extras que ela mesma apurou e não aplicou a multa de 40% (Id 2e3f4a5, fls. 340).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Fundamentos sugeridos. </w:t>
      </w:r>
      <w:r>
        <w:rPr>
          <w:b w:val="0"/>
          <w:u w:val="none"/>
        </w:rPr>
        <w:t>A sentença deferiu o FGTS com a multa de 40% sobre as parcelas salariais (Id 6a7b8c9, fls. 262). Refeita a conta, a rubrica passa de R$ 1.987,65 para R$ 4.416,93, e o total devido aumenta em R$ 2.429,28.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 xml:space="preserve">Pedido sugerido. </w:t>
      </w:r>
      <w:r>
        <w:rPr>
          <w:b w:val="0"/>
          <w:u w:val="none"/>
        </w:rPr>
        <w:t>Retificar a conta, com o FGTS e a multa de 40% sobre as horas extras e o adicional noturno corretos: R$ 4.416,93 na rubrica.</w:t>
      </w:r>
    </w:p>
    <w:p>
      <w:r>
        <w:rPr>
          <w:b w:val="0"/>
          <w:u w:val="none"/>
        </w:rPr>
      </w:r>
    </w:p>
    <w:p>
      <w:pPr>
        <w:keepNext/>
      </w:pPr>
      <w:r>
        <w:rPr>
          <w:b w:val="0"/>
          <w:u w:val="none"/>
        </w:rPr>
        <w:t xml:space="preserve">06. </w:t>
      </w:r>
      <w:r>
        <w:rPr>
          <w:b w:val="0"/>
          <w:u w:val="single"/>
        </w:rPr>
        <w:t>Dos pontos de atenção</w:t>
      </w:r>
    </w:p>
    <w:p>
      <w:pPr>
        <w:keepNext/>
      </w:pPr>
      <w:r>
        <w:rPr>
          <w:b w:val="0"/>
          <w:u w:val="none"/>
        </w:rPr>
      </w:r>
    </w:p>
    <w:p>
      <w:r>
        <w:rPr>
          <w:b w:val="0"/>
          <w:u w:val="none"/>
        </w:rPr>
        <w:t>a) a conta impugnada não incluiu os honorários de sucumbência de 10% sobre o valor líquido (Id 6a7b8c9, fls. 265). Eles não entram no quadro porque dependem da conta homologada; pela conta correta, somariam R$ 5.045,50;</w:t>
      </w:r>
    </w:p>
    <w:p>
      <w:r>
        <w:rPr>
          <w:b w:val="0"/>
          <w:u w:val="none"/>
        </w:rPr>
        <w:t>b) o cartão de ponto de 08/2022 está ilegível (Id 9c0d1e2, fls. 140). Usamos a média dos meses vizinhos, como a sentença autoriza (Id 6a7b8c9, fls. 256).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Permanecemos à disposição para os ajustes que se fizerem necessários.</w:t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</w:r>
    </w:p>
    <w:p>
      <w:r>
        <w:rPr>
          <w:b w:val="0"/>
          <w:u w:val="none"/>
        </w:rPr>
        <w:t>Atenciosamente,</w:t>
      </w:r>
    </w:p>
    <w:p>
      <w:r>
        <w:rPr>
          <w:b w:val="0"/>
          <w:u w:val="none"/>
        </w:rPr>
      </w:r>
    </w:p>
    <w:p>
      <w:r>
        <w:rPr>
          <w:b/>
          <w:u w:val="none"/>
        </w:rPr>
        <w:t>Justa Parte</w:t>
      </w:r>
    </w:p>
    <w:p>
      <w:r>
        <w:rPr>
          <w:b w:val="0"/>
          <w:u w:val="none"/>
        </w:rPr>
        <w:t>Conferido e liberado por: Especialista Exemplo (nome fictício)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1134" w:bottom="1474" w:left="1701" w:header="62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071" w:val="right"/>
      </w:tabs>
      <w:spacing w:after="0"/>
      <w:jc w:val="left"/>
      <w:pBdr>
        <w:top w:val="single" w:sz="6" w:space="6" w:color="D3E0DD"/>
      </w:pBdr>
    </w:pPr>
    <w:r>
      <w:rPr>
        <w:color w:val="0C4A50"/>
        <w:sz w:val="17"/>
      </w:rPr>
      <w:t>Justa Parte · cálculos trabalhistas · justaparte.com.br</w:t>
    </w:r>
    <w:r>
      <w:rPr>
        <w:color w:val="4E6164"/>
        <w:sz w:val="17"/>
      </w:rPr>
      <w:tab/>
      <w:t xml:space="preserve">Página </w:t>
    </w:r>
    <w:r>
      <w:rPr>
        <w:color w:val="4E6164"/>
        <w:sz w:val="17"/>
      </w:rPr>
      <w:fldChar w:fldCharType="begin"/>
    </w:r>
    <w:r>
      <w:rPr>
        <w:color w:val="4E6164"/>
        <w:sz w:val="17"/>
      </w:rPr>
      <w:instrText xml:space="preserve"> PAGE </w:instrText>
    </w:r>
    <w:r>
      <w:rPr>
        <w:color w:val="4E6164"/>
        <w:sz w:val="17"/>
      </w:rPr>
      <w:fldChar w:fldCharType="separate"/>
    </w:r>
    <w:r>
      <w:rPr>
        <w:color w:val="4E6164"/>
        <w:sz w:val="17"/>
      </w:rPr>
      <w:t>1</w:t>
    </w:r>
    <w:r>
      <w:rPr>
        <w:color w:val="4E6164"/>
        <w:sz w:val="17"/>
      </w:rPr>
      <w:fldChar w:fldCharType="end"/>
    </w:r>
    <w:r>
      <w:rPr>
        <w:color w:val="4E6164"/>
        <w:sz w:val="17"/>
      </w:rPr>
      <w:t xml:space="preserve"> de </w:t>
    </w:r>
    <w:r>
      <w:rPr>
        <w:color w:val="4E6164"/>
        <w:sz w:val="17"/>
      </w:rPr>
      <w:fldChar w:fldCharType="begin"/>
    </w:r>
    <w:r>
      <w:rPr>
        <w:color w:val="4E6164"/>
        <w:sz w:val="17"/>
      </w:rPr>
      <w:instrText xml:space="preserve"> NUMPAGES </w:instrText>
    </w:r>
    <w:r>
      <w:rPr>
        <w:color w:val="4E6164"/>
        <w:sz w:val="17"/>
      </w:rPr>
      <w:fldChar w:fldCharType="separate"/>
    </w:r>
    <w:r>
      <w:rPr>
        <w:color w:val="4E6164"/>
        <w:sz w:val="17"/>
      </w:rPr>
      <w:t>1</w:t>
    </w:r>
    <w:r>
      <w:rPr>
        <w:color w:val="4E6164"/>
        <w:sz w:val="17"/>
      </w:rPr>
      <w:fldChar w:fldCharType="end"/>
    </w:r>
  </w:p>
  <w:p>
    <w:pPr>
      <w:spacing w:before="80"/>
      <w:jc w:val="left"/>
    </w:pPr>
    <w:r>
      <w:rPr>
        <w:b w:val="0"/>
        <w:color w:val="8A1C1C"/>
        <w:sz w:val="16"/>
      </w:rPr>
      <w:t>Modelo com dados fictícios: processo, nomes, Ids, folhas e valores inventados.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71" w:val="right"/>
      </w:tabs>
      <w:spacing w:after="0"/>
      <w:pBdr>
        <w:bottom w:val="single" w:sz="12" w:space="6" w:color="B7DB48"/>
      </w:pBdr>
      <w:jc w:val="left"/>
    </w:pPr>
    <w:r>
      <w:drawing>
        <wp:inline xmlns:a="http://schemas.openxmlformats.org/drawingml/2006/main" xmlns:pic="http://schemas.openxmlformats.org/drawingml/2006/picture">
          <wp:extent cx="1751351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1351" cy="378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0C4A50"/>
        <w:sz w:val="18"/>
      </w:rPr>
      <w:tab/>
      <w:t>justaparte.com.br</w:t>
    </w:r>
  </w:p>
  <w:p>
    <w:pPr>
      <w:spacing w:before="80"/>
      <w:jc w:val="right"/>
    </w:pPr>
    <w:r>
      <w:rPr>
        <w:b/>
        <w:color w:val="8A1C1C"/>
        <w:sz w:val="17"/>
      </w:rPr>
      <w:t>MODELO COM DADOS FICTÍCIOS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  <w:jc w:val="both"/>
    </w:pPr>
    <w:rPr>
      <w:rFonts w:ascii="Arial" w:hAnsi="Arial" w:cs="Arial" w:eastAsia="Arial"/>
      <w:b w:val="0"/>
      <w:color w:val="16262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0C4A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D66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 w:cs="Arial" w:eastAsia="Arial"/>
      <w:b/>
      <w:color w:val="0C4A5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 w:cs="Arial" w:eastAsia="Arial"/>
      <w:b w:val="0"/>
      <w:i w:val="0"/>
      <w:iCs/>
      <w:color w:val="4E6164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b w:val="0"/>
      <w:color w:val="16262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b w:val="0"/>
      <w:color w:val="16262A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 w:val="0"/>
      <w:color w:val="4E616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Justa Parte</dc:creator>
  <cp:lastModifiedBy>Justa Parte</cp:lastModifiedBy>
  <cp:revision>1</cp:revision>
  <dcterms:created xsi:type="dcterms:W3CDTF">2026-10-03T01:21:11Z</dcterms:created>
  <dcterms:modified xsi:type="dcterms:W3CDTF">2026-10-03T01:21:11Z</dcterms:modified>
</cp:coreProperties>
</file>