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u w:val="none"/>
        </w:rPr>
        <w:t>São Paulo, 30 de setembro de 2026.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>Ao</w:t>
      </w:r>
    </w:p>
    <w:p>
      <w:r>
        <w:rPr>
          <w:b/>
          <w:u w:val="none"/>
        </w:rPr>
        <w:t>ESCRITÓRIO EXEMPLO ADVOCACIA</w:t>
      </w:r>
    </w:p>
    <w:p>
      <w:r>
        <w:rPr>
          <w:b w:val="0"/>
          <w:u w:val="single"/>
        </w:rPr>
        <w:t>A/C: Dra. Advogada Exemplo</w:t>
      </w:r>
    </w:p>
    <w:p>
      <w:r>
        <w:rPr>
          <w:b w:val="0"/>
          <w:u w:val="none"/>
        </w:rPr>
      </w:r>
    </w:p>
    <w:p>
      <w:pPr>
        <w:jc w:val="left"/>
      </w:pPr>
      <w:r>
        <w:rPr>
          <w:b w:val="0"/>
          <w:u w:val="none"/>
        </w:rPr>
        <w:t>Processo nº: 0000000-00.0000.5.00.0000 · 1ª Vara do Trabalho de Cidade Exemplo</w:t>
      </w:r>
    </w:p>
    <w:p>
      <w:pPr>
        <w:jc w:val="left"/>
      </w:pPr>
      <w:r>
        <w:rPr>
          <w:b w:val="0"/>
          <w:u w:val="none"/>
        </w:rPr>
        <w:t>Reclamante: TRABALHADORA EXEMPLO</w:t>
      </w:r>
    </w:p>
    <w:p>
      <w:pPr>
        <w:jc w:val="left"/>
      </w:pPr>
      <w:r>
        <w:rPr>
          <w:b w:val="0"/>
          <w:u w:val="none"/>
        </w:rPr>
        <w:t>Reclamada: EMPRESA EXEMPLO LTDA.</w:t>
      </w:r>
    </w:p>
    <w:p>
      <w:pPr>
        <w:jc w:val="left"/>
      </w:pPr>
      <w:r>
        <w:rPr>
          <w:b w:val="0"/>
          <w:u w:val="none"/>
        </w:rPr>
        <w:t xml:space="preserve">Assunto: </w:t>
      </w:r>
      <w:r>
        <w:rPr>
          <w:b w:val="0"/>
          <w:u w:val="single"/>
        </w:rPr>
        <w:t>LIQUIDAÇÃO DAS DECISÕES (SENTENÇA E ACÓRDÃO)</w:t>
      </w:r>
    </w:p>
    <w:p>
      <w:pPr>
        <w:jc w:val="left"/>
      </w:pPr>
      <w:r>
        <w:rPr>
          <w:b w:val="0"/>
          <w:u w:val="none"/>
        </w:rPr>
        <w:t>Pedido: JP-000000</w:t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  <w:t>Prezada Dra.</w:t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  <w:t>Atendendo à solicitação de 24/09/2026, apresentamos o cálculo de liquidação das decisões deste processo, com a data-base de 30/09/2026. Este relatório registra de onde saiu cada número, com o Id e as folhas do documento que o sustenta, para que possa ser conferido linha a linha.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01. </w:t>
      </w:r>
      <w:r>
        <w:rPr>
          <w:b w:val="0"/>
          <w:u w:val="single"/>
        </w:rPr>
        <w:t>Das peças que sustentam os números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Trabalhamos sobre os autos integrais. As peças que interessam ao cálculo são estas:</w:t>
      </w:r>
    </w:p>
    <w:p>
      <w:r>
        <w:rPr>
          <w:b w:val="0"/>
          <w:u w:val="none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16262A"/>
          <w:left w:val="single" w:sz="4" w:space="0" w:color="16262A"/>
          <w:bottom w:val="single" w:sz="4" w:space="0" w:color="16262A"/>
          <w:right w:val="single" w:sz="4" w:space="0" w:color="16262A"/>
          <w:insideH w:val="single" w:sz="4" w:space="0" w:color="16262A"/>
          <w:insideV w:val="single" w:sz="4" w:space="0" w:color="16262A"/>
        </w:tblBorders>
      </w:tblPr>
      <w:tblGrid>
        <w:gridCol w:w="4535"/>
        <w:gridCol w:w="2268"/>
        <w:gridCol w:w="2268"/>
      </w:tblGrid>
      <w:tr>
        <w:tc>
          <w:tcPr>
            <w:tcW w:type="dxa" w:w="4535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Peça</w:t>
            </w:r>
          </w:p>
        </w:tc>
        <w:tc>
          <w:tcPr>
            <w:tcW w:type="dxa" w:w="2268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Id.</w:t>
            </w:r>
          </w:p>
        </w:tc>
        <w:tc>
          <w:tcPr>
            <w:tcW w:type="dxa" w:w="2268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Fls.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Holerites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4d5e6f7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30/58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Cartões de ponto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5e6f7a8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60/118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Sentença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9f8e7d6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182/196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Acórdão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1a2b3c4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210/218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Embargos de declaração (decisão)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2b3c4d5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224/225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Decisão de liquidação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7b8c9d0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230</w:t>
            </w:r>
          </w:p>
        </w:tc>
      </w:tr>
    </w:tbl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02. </w:t>
      </w:r>
      <w:r>
        <w:rPr>
          <w:b w:val="0"/>
          <w:u w:val="single"/>
        </w:rPr>
        <w:t>Do resumo das decisões analisadas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Cada decisão que interfere no cálculo, com o que ela fixou: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a) Sentença de 12/03/2025 (Id 9f8e7d6, fls. 182/196): </w:t>
      </w:r>
      <w:r>
        <w:rPr>
          <w:b w:val="0"/>
          <w:u w:val="none"/>
        </w:rPr>
        <w:t>deferiu horas extras além da 6ª diária e da 36ª semanal, com adicional de 50% e reflexos em DSR, férias com 1/3, 13º salário, aviso prévio e FGTS com 40%; adicional noturno de 20% com reflexos nas mesmas verbas, exceto DSR; período de 01/02/2021 a 15/08/2023; base de cálculo pela evolução salarial dos holerites; correção e juros pela ADC 58 e pela Lei 14.905/2024; honorários de sucumbência de 10% sobre o valor da condenação. Indeferiu o dano moral.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b) Acórdão de 20/11/2025 (Id 1a2b3c4, fls. 210/218): </w:t>
      </w:r>
      <w:r>
        <w:rPr>
          <w:b w:val="0"/>
          <w:u w:val="none"/>
        </w:rPr>
        <w:t>manteve as horas extras e o adicional noturno e deu provimento ao recurso da reclamante para fixar o divisor 180, pela jornada contratual de 6 horas diárias e 36 semanais. Efeito no cálculo: o valor da hora aumenta.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c) Embargos de declaração de 05/12/2025 (Id 2b3c4d5, fls. 224/225): </w:t>
      </w:r>
      <w:r>
        <w:rPr>
          <w:b w:val="0"/>
          <w:u w:val="none"/>
        </w:rPr>
        <w:t>rejeitados. Sem efeito no cálculo.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d) Decisão de liquidação de 15/09/2026 (Id 7b8c9d0, fls. 230): </w:t>
      </w:r>
      <w:r>
        <w:rPr>
          <w:b w:val="0"/>
          <w:u w:val="none"/>
        </w:rPr>
        <w:t>determinou a apresentação dos cálculos pela reclamante em 8 dias, com a data-base de 30/09/2026.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03. </w:t>
      </w:r>
      <w:r>
        <w:rPr>
          <w:b w:val="0"/>
          <w:u w:val="single"/>
        </w:rPr>
        <w:t>Dos parâmetros adotados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a) correção monetária e juros: IPCA-E e juros do art. 39, caput, da Lei 8.177/1991 até o ajuizamento, SELIC até 29/08/2024 e IPCA com a taxa legal desde 30/08/2024, conforme a sentença (Id 9f8e7d6, fls. 188);</w:t>
      </w:r>
    </w:p>
    <w:p>
      <w:r>
        <w:rPr>
          <w:b w:val="0"/>
          <w:u w:val="none"/>
        </w:rPr>
        <w:t>b) jornada e divisor: jornada dos cartões de ponto e divisor 180, conforme o acórdão (Id 1a2b3c4, fls. 212) e os cartões (Id 5e6f7a8, fls. 60/118);</w:t>
      </w:r>
    </w:p>
    <w:p>
      <w:r>
        <w:rPr>
          <w:b w:val="0"/>
          <w:u w:val="none"/>
        </w:rPr>
        <w:t>c) base de cálculo: evolução salarial mês a mês, conforme os holerites (Id 4d5e6f7, fls. 30/58);</w:t>
      </w:r>
    </w:p>
    <w:p>
      <w:r>
        <w:rPr>
          <w:b w:val="0"/>
          <w:u w:val="none"/>
        </w:rPr>
        <w:t>d) deduções autorizadas: horas extras pagas nos holerites, abatidas mês a mês, conforme a sentença (Id 9f8e7d6, fls. 190).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04. </w:t>
      </w:r>
      <w:r>
        <w:rPr>
          <w:b w:val="0"/>
          <w:u w:val="single"/>
        </w:rPr>
        <w:t>Do resultado</w:t>
      </w:r>
    </w:p>
    <w:p>
      <w:pPr>
        <w:keepNext/>
      </w:pPr>
      <w:r>
        <w:rPr>
          <w:b w:val="0"/>
          <w:u w:val="none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16262A"/>
          <w:left w:val="single" w:sz="4" w:space="0" w:color="16262A"/>
          <w:bottom w:val="single" w:sz="4" w:space="0" w:color="16262A"/>
          <w:right w:val="single" w:sz="4" w:space="0" w:color="16262A"/>
          <w:insideH w:val="single" w:sz="4" w:space="0" w:color="16262A"/>
          <w:insideV w:val="single" w:sz="4" w:space="0" w:color="16262A"/>
        </w:tblBorders>
      </w:tblPr>
      <w:tblGrid>
        <w:gridCol w:w="5669"/>
        <w:gridCol w:w="3402"/>
      </w:tblGrid>
      <w:tr>
        <w:tc>
          <w:tcPr>
            <w:tcW w:type="dxa" w:w="5669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Descrição</w:t>
            </w:r>
          </w:p>
        </w:tc>
        <w:tc>
          <w:tcPr>
            <w:tcW w:type="dxa" w:w="3402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Valor (R$)</w:t>
            </w:r>
          </w:p>
        </w:tc>
      </w:tr>
      <w:tr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Principal bruto (horas extras, adicional noturno e reflexos)</w:t>
            </w:r>
          </w:p>
        </w:tc>
        <w:tc>
          <w:tcPr>
            <w:tcW w:type="dxa" w:w="3402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36.043,28</w:t>
            </w:r>
          </w:p>
        </w:tc>
      </w:tr>
      <w:tr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FGTS com 40%</w:t>
            </w:r>
          </w:p>
        </w:tc>
        <w:tc>
          <w:tcPr>
            <w:tcW w:type="dxa" w:w="3402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4.127,63</w:t>
            </w:r>
          </w:p>
        </w:tc>
      </w:tr>
      <w:tr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Contribuição social</w:t>
            </w:r>
          </w:p>
        </w:tc>
        <w:tc>
          <w:tcPr>
            <w:tcW w:type="dxa" w:w="3402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4.124,10</w:t>
            </w:r>
          </w:p>
        </w:tc>
      </w:tr>
      <w:tr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Honorários de sucumbência (10% sobre o principal e o FGTS)</w:t>
            </w:r>
          </w:p>
        </w:tc>
        <w:tc>
          <w:tcPr>
            <w:tcW w:type="dxa" w:w="3402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4.017,09</w:t>
            </w:r>
          </w:p>
        </w:tc>
      </w:tr>
      <w:tr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Total devido pela reclamada</w:t>
            </w:r>
          </w:p>
        </w:tc>
        <w:tc>
          <w:tcPr>
            <w:tcW w:type="dxa" w:w="3402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48.312,10</w:t>
            </w:r>
          </w:p>
        </w:tc>
      </w:tr>
    </w:tbl>
    <w:p>
      <w:r>
        <w:rPr>
          <w:b w:val="0"/>
          <w:u w:val="none"/>
        </w:rPr>
      </w:r>
    </w:p>
    <w:p>
      <w:r>
        <w:rPr>
          <w:b w:val="0"/>
          <w:u w:val="none"/>
        </w:rPr>
        <w:t>Valores na data-base de 30/09/2026. A planilha completa está no PDF do PJe-Calc que acompanha este relatório.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05. </w:t>
      </w:r>
      <w:r>
        <w:rPr>
          <w:b w:val="0"/>
          <w:u w:val="single"/>
        </w:rPr>
        <w:t>Dos pontos de atenção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a) o cartão de ponto de 03/2023 não foi encontrado nos autos (procurado nas fls. 60/118 e nos documentos avulsos). O mês foi calculado sem horas extras; pela média dos meses vizinhos, o total aumentaria em R$ 612,40. Diga se quer a média;</w:t>
      </w:r>
    </w:p>
    <w:p>
      <w:r>
        <w:rPr>
          <w:b w:val="0"/>
          <w:u w:val="none"/>
        </w:rPr>
        <w:t>b) o reflexo do adicional noturno em DSR não consta do título (Id 9f8e7d6, fls. 190) e por isso não foi calculado.</w:t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  <w:t>Permanecemos à disposição para os ajustes que se fizerem necessários.</w:t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  <w:t>Atenciosamente,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>Justa Parte</w:t>
      </w:r>
    </w:p>
    <w:p>
      <w:r>
        <w:rPr>
          <w:b w:val="0"/>
          <w:u w:val="none"/>
        </w:rPr>
        <w:t>Conferido e liberado por: Especialista Exemplo (nome fictício)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1134" w:bottom="1474" w:left="1701" w:header="62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071" w:val="right"/>
      </w:tabs>
      <w:spacing w:after="0"/>
      <w:jc w:val="left"/>
      <w:pBdr>
        <w:top w:val="single" w:sz="6" w:space="6" w:color="D3E0DD"/>
      </w:pBdr>
    </w:pPr>
    <w:r>
      <w:rPr>
        <w:color w:val="0C4A50"/>
        <w:sz w:val="17"/>
      </w:rPr>
      <w:t>Justa Parte · cálculos trabalhistas · justaparte.com.br</w:t>
    </w:r>
    <w:r>
      <w:rPr>
        <w:color w:val="4E6164"/>
        <w:sz w:val="17"/>
      </w:rPr>
      <w:tab/>
      <w:t xml:space="preserve">Página </w:t>
    </w:r>
    <w:r>
      <w:rPr>
        <w:color w:val="4E6164"/>
        <w:sz w:val="17"/>
      </w:rPr>
      <w:fldChar w:fldCharType="begin"/>
    </w:r>
    <w:r>
      <w:rPr>
        <w:color w:val="4E6164"/>
        <w:sz w:val="17"/>
      </w:rPr>
      <w:instrText xml:space="preserve"> PAGE </w:instrText>
    </w:r>
    <w:r>
      <w:rPr>
        <w:color w:val="4E6164"/>
        <w:sz w:val="17"/>
      </w:rPr>
      <w:fldChar w:fldCharType="separate"/>
    </w:r>
    <w:r>
      <w:rPr>
        <w:color w:val="4E6164"/>
        <w:sz w:val="17"/>
      </w:rPr>
      <w:t>1</w:t>
    </w:r>
    <w:r>
      <w:rPr>
        <w:color w:val="4E6164"/>
        <w:sz w:val="17"/>
      </w:rPr>
      <w:fldChar w:fldCharType="end"/>
    </w:r>
    <w:r>
      <w:rPr>
        <w:color w:val="4E6164"/>
        <w:sz w:val="17"/>
      </w:rPr>
      <w:t xml:space="preserve"> de </w:t>
    </w:r>
    <w:r>
      <w:rPr>
        <w:color w:val="4E6164"/>
        <w:sz w:val="17"/>
      </w:rPr>
      <w:fldChar w:fldCharType="begin"/>
    </w:r>
    <w:r>
      <w:rPr>
        <w:color w:val="4E6164"/>
        <w:sz w:val="17"/>
      </w:rPr>
      <w:instrText xml:space="preserve"> NUMPAGES </w:instrText>
    </w:r>
    <w:r>
      <w:rPr>
        <w:color w:val="4E6164"/>
        <w:sz w:val="17"/>
      </w:rPr>
      <w:fldChar w:fldCharType="separate"/>
    </w:r>
    <w:r>
      <w:rPr>
        <w:color w:val="4E6164"/>
        <w:sz w:val="17"/>
      </w:rPr>
      <w:t>1</w:t>
    </w:r>
    <w:r>
      <w:rPr>
        <w:color w:val="4E6164"/>
        <w:sz w:val="17"/>
      </w:rPr>
      <w:fldChar w:fldCharType="end"/>
    </w:r>
  </w:p>
  <w:p>
    <w:pPr>
      <w:spacing w:before="80"/>
      <w:jc w:val="left"/>
    </w:pPr>
    <w:r>
      <w:rPr>
        <w:b w:val="0"/>
        <w:color w:val="8A1C1C"/>
        <w:sz w:val="16"/>
      </w:rPr>
      <w:t>Modelo com dados fictícios: processo, nomes, Ids, folhas e valores inventados.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71" w:val="right"/>
      </w:tabs>
      <w:spacing w:after="0"/>
      <w:pBdr>
        <w:bottom w:val="single" w:sz="12" w:space="6" w:color="B7DB48"/>
      </w:pBdr>
      <w:jc w:val="left"/>
    </w:pPr>
    <w:r>
      <w:drawing>
        <wp:inline xmlns:a="http://schemas.openxmlformats.org/drawingml/2006/main" xmlns:pic="http://schemas.openxmlformats.org/drawingml/2006/picture">
          <wp:extent cx="1751351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1351" cy="378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0C4A50"/>
        <w:sz w:val="18"/>
      </w:rPr>
      <w:tab/>
      <w:t>justaparte.com.br</w:t>
    </w:r>
  </w:p>
  <w:p>
    <w:pPr>
      <w:spacing w:before="80"/>
      <w:jc w:val="right"/>
    </w:pPr>
    <w:r>
      <w:rPr>
        <w:b/>
        <w:color w:val="8A1C1C"/>
        <w:sz w:val="17"/>
      </w:rPr>
      <w:t>MODELO COM DADOS FICTÍCIOS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  <w:jc w:val="both"/>
    </w:pPr>
    <w:rPr>
      <w:rFonts w:ascii="Arial" w:hAnsi="Arial" w:cs="Arial" w:eastAsia="Arial"/>
      <w:b w:val="0"/>
      <w:color w:val="16262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0C4A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D66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 w:cs="Arial" w:eastAsia="Arial"/>
      <w:b/>
      <w:color w:val="0C4A5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 w:cs="Arial" w:eastAsia="Arial"/>
      <w:b w:val="0"/>
      <w:i w:val="0"/>
      <w:iCs/>
      <w:color w:val="4E6164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b w:val="0"/>
      <w:color w:val="16262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b w:val="0"/>
      <w:color w:val="16262A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 w:val="0"/>
      <w:color w:val="4E616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Justa Parte</dc:creator>
  <cp:lastModifiedBy>Justa Parte</cp:lastModifiedBy>
  <cp:revision>1</cp:revision>
  <dcterms:created xsi:type="dcterms:W3CDTF">2026-10-02T18:37:59Z</dcterms:created>
  <dcterms:modified xsi:type="dcterms:W3CDTF">2026-10-02T18:37:59Z</dcterms:modified>
</cp:coreProperties>
</file>